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C95" w:rsidRPr="00A6334C" w:rsidRDefault="00A82C95">
      <w:pPr>
        <w:spacing w:line="240" w:lineRule="auto"/>
        <w:rPr>
          <w:rFonts w:ascii="Arial" w:hAnsi="Arial" w:cs="Arial"/>
          <w:sz w:val="18"/>
          <w:szCs w:val="18"/>
        </w:rPr>
      </w:pPr>
    </w:p>
    <w:p w:rsidR="00A82C95" w:rsidRPr="00A6334C" w:rsidRDefault="006B25D0">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Arial" w:hAnsi="Arial" w:cs="Arial"/>
          <w:b/>
          <w:sz w:val="28"/>
          <w:szCs w:val="28"/>
        </w:rPr>
      </w:pPr>
      <w:r w:rsidRPr="00A6334C">
        <w:rPr>
          <w:rFonts w:ascii="Arial" w:hAnsi="Arial" w:cs="Arial"/>
          <w:b/>
          <w:sz w:val="28"/>
          <w:szCs w:val="28"/>
        </w:rPr>
        <w:t>Erläuterungen zur Abrechnung von Projektkosten</w:t>
      </w:r>
      <w:r w:rsidRPr="00A6334C">
        <w:rPr>
          <w:rFonts w:ascii="Arial" w:hAnsi="Arial" w:cs="Arial"/>
          <w:b/>
          <w:sz w:val="28"/>
          <w:szCs w:val="28"/>
        </w:rPr>
        <w:br/>
        <w:t>mit Standardeinheitskosten</w:t>
      </w:r>
    </w:p>
    <w:p w:rsidR="00A82C95" w:rsidRPr="00A6334C" w:rsidRDefault="00A82C95">
      <w:pPr>
        <w:spacing w:line="240" w:lineRule="auto"/>
        <w:jc w:val="both"/>
        <w:rPr>
          <w:rFonts w:ascii="Arial" w:hAnsi="Arial" w:cs="Arial"/>
          <w:sz w:val="12"/>
          <w:szCs w:val="12"/>
        </w:rPr>
      </w:pPr>
    </w:p>
    <w:p w:rsidR="00A82C95" w:rsidRPr="00A6334C" w:rsidRDefault="006B25D0">
      <w:pPr>
        <w:jc w:val="both"/>
        <w:rPr>
          <w:rFonts w:ascii="Arial" w:hAnsi="Arial" w:cs="Arial"/>
          <w:b/>
        </w:rPr>
      </w:pPr>
      <w:r w:rsidRPr="00A6334C">
        <w:rPr>
          <w:rFonts w:ascii="Arial" w:hAnsi="Arial" w:cs="Arial"/>
        </w:rPr>
        <w:t xml:space="preserve">Der Antrag der mit der Umsetzung des Operationellen Programms „Beschäftigung Österreich 2014 – 2020“ beauftragten Verwaltungsbehörde an die zuständigen Behörden der EU zu Standardeinheitskosten wurde bereits gestellt. Die entsprechende Beschlussfassung auf EU-Ebene ist noch ausständig. </w:t>
      </w:r>
      <w:r w:rsidRPr="00A6334C">
        <w:rPr>
          <w:rFonts w:ascii="Arial" w:hAnsi="Arial" w:cs="Arial"/>
          <w:b/>
        </w:rPr>
        <w:t>Änderungen der Stundensätze sind daher grundsätzlich noch möglich.</w:t>
      </w:r>
    </w:p>
    <w:p w:rsidR="00A82C95" w:rsidRPr="00A6334C" w:rsidRDefault="006B25D0">
      <w:pPr>
        <w:jc w:val="both"/>
        <w:rPr>
          <w:rFonts w:ascii="Arial" w:hAnsi="Arial" w:cs="Arial"/>
        </w:rPr>
      </w:pPr>
      <w:r w:rsidRPr="00A6334C">
        <w:rPr>
          <w:rFonts w:ascii="Arial" w:hAnsi="Arial" w:cs="Arial"/>
        </w:rPr>
        <w:t xml:space="preserve">Folgende Stundensätze wurden von der Verwaltungsbehörde beantragt: </w:t>
      </w:r>
    </w:p>
    <w:tbl>
      <w:tblPr>
        <w:tblStyle w:val="Tabellenraster"/>
        <w:tblW w:w="0" w:type="auto"/>
        <w:tblLook w:val="04A0" w:firstRow="1" w:lastRow="0" w:firstColumn="1" w:lastColumn="0" w:noHBand="0" w:noVBand="1"/>
      </w:tblPr>
      <w:tblGrid>
        <w:gridCol w:w="4528"/>
        <w:gridCol w:w="2267"/>
        <w:gridCol w:w="2267"/>
      </w:tblGrid>
      <w:tr w:rsidR="00A82C95" w:rsidRPr="00A6334C" w:rsidTr="00A6334C">
        <w:trPr>
          <w:trHeight w:val="406"/>
        </w:trPr>
        <w:tc>
          <w:tcPr>
            <w:tcW w:w="4528" w:type="dxa"/>
          </w:tcPr>
          <w:p w:rsidR="00A82C95" w:rsidRPr="00A6334C" w:rsidRDefault="006B25D0">
            <w:pPr>
              <w:jc w:val="center"/>
              <w:rPr>
                <w:rFonts w:ascii="Arial" w:hAnsi="Arial" w:cs="Arial"/>
                <w:b/>
              </w:rPr>
            </w:pPr>
            <w:r w:rsidRPr="00A6334C">
              <w:rPr>
                <w:rFonts w:ascii="Arial" w:hAnsi="Arial" w:cs="Arial"/>
                <w:b/>
              </w:rPr>
              <w:t>Funktion</w:t>
            </w:r>
          </w:p>
        </w:tc>
        <w:tc>
          <w:tcPr>
            <w:tcW w:w="4534" w:type="dxa"/>
            <w:gridSpan w:val="2"/>
          </w:tcPr>
          <w:p w:rsidR="00A82C95" w:rsidRPr="00A6334C" w:rsidRDefault="006B25D0">
            <w:pPr>
              <w:jc w:val="center"/>
              <w:rPr>
                <w:rFonts w:ascii="Arial" w:hAnsi="Arial" w:cs="Arial"/>
                <w:b/>
              </w:rPr>
            </w:pPr>
            <w:r w:rsidRPr="00A6334C">
              <w:rPr>
                <w:rFonts w:ascii="Arial" w:hAnsi="Arial" w:cs="Arial"/>
                <w:b/>
              </w:rPr>
              <w:t>Stundensatz inkl. Restkostenpauschale</w:t>
            </w:r>
          </w:p>
        </w:tc>
      </w:tr>
      <w:tr w:rsidR="00A6334C" w:rsidRPr="00A6334C" w:rsidTr="005A5E9A">
        <w:trPr>
          <w:trHeight w:val="406"/>
        </w:trPr>
        <w:tc>
          <w:tcPr>
            <w:tcW w:w="4528" w:type="dxa"/>
          </w:tcPr>
          <w:p w:rsidR="00A6334C" w:rsidRPr="00A6334C" w:rsidRDefault="00A6334C">
            <w:pPr>
              <w:jc w:val="center"/>
              <w:rPr>
                <w:rFonts w:ascii="Arial" w:hAnsi="Arial" w:cs="Arial"/>
                <w:b/>
              </w:rPr>
            </w:pPr>
          </w:p>
        </w:tc>
        <w:tc>
          <w:tcPr>
            <w:tcW w:w="2267" w:type="dxa"/>
          </w:tcPr>
          <w:p w:rsidR="00A6334C" w:rsidRPr="00A6334C" w:rsidRDefault="00A6334C">
            <w:pPr>
              <w:jc w:val="center"/>
              <w:rPr>
                <w:rFonts w:ascii="Arial" w:hAnsi="Arial" w:cs="Arial"/>
                <w:b/>
              </w:rPr>
            </w:pPr>
            <w:r>
              <w:rPr>
                <w:rFonts w:ascii="Arial" w:hAnsi="Arial" w:cs="Arial"/>
                <w:b/>
              </w:rPr>
              <w:t>2019</w:t>
            </w:r>
          </w:p>
        </w:tc>
        <w:tc>
          <w:tcPr>
            <w:tcW w:w="2267" w:type="dxa"/>
          </w:tcPr>
          <w:p w:rsidR="00A6334C" w:rsidRPr="00A6334C" w:rsidRDefault="00A6334C">
            <w:pPr>
              <w:jc w:val="center"/>
              <w:rPr>
                <w:rFonts w:ascii="Arial" w:hAnsi="Arial" w:cs="Arial"/>
                <w:b/>
              </w:rPr>
            </w:pPr>
            <w:r>
              <w:rPr>
                <w:rFonts w:ascii="Arial" w:hAnsi="Arial" w:cs="Arial"/>
                <w:b/>
              </w:rPr>
              <w:t>2020</w:t>
            </w:r>
          </w:p>
        </w:tc>
      </w:tr>
      <w:tr w:rsidR="00A6334C" w:rsidRPr="00A6334C" w:rsidTr="009A410F">
        <w:tc>
          <w:tcPr>
            <w:tcW w:w="4528" w:type="dxa"/>
          </w:tcPr>
          <w:p w:rsidR="00A6334C" w:rsidRPr="00A6334C" w:rsidRDefault="00A6334C">
            <w:pPr>
              <w:jc w:val="both"/>
              <w:rPr>
                <w:rFonts w:ascii="Arial" w:hAnsi="Arial" w:cs="Arial"/>
              </w:rPr>
            </w:pPr>
            <w:r w:rsidRPr="00A6334C">
              <w:rPr>
                <w:rFonts w:ascii="Arial" w:hAnsi="Arial" w:cs="Arial"/>
              </w:rPr>
              <w:t>Projektleitung</w:t>
            </w:r>
          </w:p>
        </w:tc>
        <w:tc>
          <w:tcPr>
            <w:tcW w:w="2267" w:type="dxa"/>
          </w:tcPr>
          <w:p w:rsidR="00A6334C" w:rsidRPr="00A6334C" w:rsidRDefault="00A6334C" w:rsidP="00A6334C">
            <w:pPr>
              <w:jc w:val="both"/>
              <w:rPr>
                <w:rFonts w:ascii="Arial" w:hAnsi="Arial" w:cs="Arial"/>
              </w:rPr>
            </w:pPr>
            <w:r>
              <w:rPr>
                <w:rFonts w:ascii="Arial" w:hAnsi="Arial" w:cs="Arial"/>
              </w:rPr>
              <w:t>€ 58,35</w:t>
            </w:r>
          </w:p>
        </w:tc>
        <w:tc>
          <w:tcPr>
            <w:tcW w:w="2267" w:type="dxa"/>
          </w:tcPr>
          <w:p w:rsidR="00A6334C" w:rsidRPr="00A6334C" w:rsidRDefault="00A6334C" w:rsidP="00A6334C">
            <w:pPr>
              <w:jc w:val="both"/>
              <w:rPr>
                <w:rFonts w:ascii="Arial" w:hAnsi="Arial" w:cs="Arial"/>
              </w:rPr>
            </w:pPr>
            <w:r>
              <w:rPr>
                <w:rFonts w:ascii="Arial" w:hAnsi="Arial" w:cs="Arial"/>
              </w:rPr>
              <w:t>€ 59,72</w:t>
            </w:r>
          </w:p>
        </w:tc>
      </w:tr>
      <w:tr w:rsidR="00A6334C" w:rsidRPr="00A6334C" w:rsidTr="00385A5D">
        <w:tc>
          <w:tcPr>
            <w:tcW w:w="4528" w:type="dxa"/>
          </w:tcPr>
          <w:p w:rsidR="00A6334C" w:rsidRPr="00A6334C" w:rsidRDefault="00A6334C">
            <w:pPr>
              <w:jc w:val="both"/>
              <w:rPr>
                <w:rFonts w:ascii="Arial" w:hAnsi="Arial" w:cs="Arial"/>
              </w:rPr>
            </w:pPr>
            <w:r w:rsidRPr="00A6334C">
              <w:rPr>
                <w:rFonts w:ascii="Arial" w:hAnsi="Arial" w:cs="Arial"/>
              </w:rPr>
              <w:t>Schlüsselkräfte</w:t>
            </w:r>
          </w:p>
        </w:tc>
        <w:tc>
          <w:tcPr>
            <w:tcW w:w="2267" w:type="dxa"/>
          </w:tcPr>
          <w:p w:rsidR="00A6334C" w:rsidRPr="00A6334C" w:rsidRDefault="00A6334C">
            <w:pPr>
              <w:jc w:val="both"/>
              <w:rPr>
                <w:rFonts w:ascii="Arial" w:hAnsi="Arial" w:cs="Arial"/>
              </w:rPr>
            </w:pPr>
            <w:r>
              <w:rPr>
                <w:rFonts w:ascii="Arial" w:hAnsi="Arial" w:cs="Arial"/>
              </w:rPr>
              <w:t>€ 43,83</w:t>
            </w:r>
          </w:p>
        </w:tc>
        <w:tc>
          <w:tcPr>
            <w:tcW w:w="2267" w:type="dxa"/>
          </w:tcPr>
          <w:p w:rsidR="00A6334C" w:rsidRPr="00A6334C" w:rsidRDefault="00A6334C">
            <w:pPr>
              <w:jc w:val="both"/>
              <w:rPr>
                <w:rFonts w:ascii="Arial" w:hAnsi="Arial" w:cs="Arial"/>
              </w:rPr>
            </w:pPr>
            <w:r>
              <w:rPr>
                <w:rFonts w:ascii="Arial" w:hAnsi="Arial" w:cs="Arial"/>
              </w:rPr>
              <w:t>€</w:t>
            </w:r>
            <w:r w:rsidR="00594044">
              <w:rPr>
                <w:rFonts w:ascii="Arial" w:hAnsi="Arial" w:cs="Arial"/>
              </w:rPr>
              <w:t xml:space="preserve"> </w:t>
            </w:r>
            <w:r>
              <w:rPr>
                <w:rFonts w:ascii="Arial" w:hAnsi="Arial" w:cs="Arial"/>
              </w:rPr>
              <w:t>44,71</w:t>
            </w:r>
          </w:p>
        </w:tc>
      </w:tr>
      <w:tr w:rsidR="00A6334C" w:rsidRPr="00A6334C" w:rsidTr="004D13DB">
        <w:tc>
          <w:tcPr>
            <w:tcW w:w="4528" w:type="dxa"/>
          </w:tcPr>
          <w:p w:rsidR="00A6334C" w:rsidRPr="00A6334C" w:rsidRDefault="00A6334C">
            <w:pPr>
              <w:jc w:val="both"/>
              <w:rPr>
                <w:rFonts w:ascii="Arial" w:hAnsi="Arial" w:cs="Arial"/>
              </w:rPr>
            </w:pPr>
            <w:r w:rsidRPr="00A6334C">
              <w:rPr>
                <w:rFonts w:ascii="Arial" w:hAnsi="Arial" w:cs="Arial"/>
              </w:rPr>
              <w:t>Verwaltungspersonal</w:t>
            </w:r>
          </w:p>
        </w:tc>
        <w:tc>
          <w:tcPr>
            <w:tcW w:w="2267" w:type="dxa"/>
          </w:tcPr>
          <w:p w:rsidR="00A6334C" w:rsidRPr="00A6334C" w:rsidRDefault="00A6334C">
            <w:pPr>
              <w:jc w:val="both"/>
              <w:rPr>
                <w:rFonts w:ascii="Arial" w:hAnsi="Arial" w:cs="Arial"/>
              </w:rPr>
            </w:pPr>
            <w:r>
              <w:rPr>
                <w:rFonts w:ascii="Arial" w:hAnsi="Arial" w:cs="Arial"/>
              </w:rPr>
              <w:t>€ 36,27</w:t>
            </w:r>
          </w:p>
        </w:tc>
        <w:tc>
          <w:tcPr>
            <w:tcW w:w="2267" w:type="dxa"/>
          </w:tcPr>
          <w:p w:rsidR="00A6334C" w:rsidRPr="00A6334C" w:rsidRDefault="00A6334C">
            <w:pPr>
              <w:jc w:val="both"/>
              <w:rPr>
                <w:rFonts w:ascii="Arial" w:hAnsi="Arial" w:cs="Arial"/>
              </w:rPr>
            </w:pPr>
            <w:r>
              <w:rPr>
                <w:rFonts w:ascii="Arial" w:hAnsi="Arial" w:cs="Arial"/>
              </w:rPr>
              <w:t>€</w:t>
            </w:r>
            <w:r w:rsidR="00594044">
              <w:rPr>
                <w:rFonts w:ascii="Arial" w:hAnsi="Arial" w:cs="Arial"/>
              </w:rPr>
              <w:t xml:space="preserve"> </w:t>
            </w:r>
            <w:bookmarkStart w:id="0" w:name="_GoBack"/>
            <w:bookmarkEnd w:id="0"/>
            <w:r>
              <w:rPr>
                <w:rFonts w:ascii="Arial" w:hAnsi="Arial" w:cs="Arial"/>
              </w:rPr>
              <w:t>37,00</w:t>
            </w:r>
          </w:p>
        </w:tc>
      </w:tr>
    </w:tbl>
    <w:p w:rsidR="00A82C95" w:rsidRPr="00A6334C" w:rsidRDefault="00A82C95">
      <w:pPr>
        <w:spacing w:line="240" w:lineRule="auto"/>
        <w:jc w:val="both"/>
        <w:rPr>
          <w:rFonts w:ascii="Arial" w:hAnsi="Arial" w:cs="Arial"/>
          <w:sz w:val="16"/>
          <w:szCs w:val="16"/>
        </w:rPr>
      </w:pPr>
    </w:p>
    <w:p w:rsidR="00A82C95" w:rsidRPr="00A6334C" w:rsidRDefault="006B25D0">
      <w:pPr>
        <w:jc w:val="both"/>
        <w:rPr>
          <w:rFonts w:ascii="Arial" w:hAnsi="Arial" w:cs="Arial"/>
        </w:rPr>
      </w:pPr>
      <w:r w:rsidRPr="00A6334C">
        <w:rPr>
          <w:rFonts w:ascii="Arial" w:hAnsi="Arial" w:cs="Arial"/>
        </w:rPr>
        <w:t>Die Anwendung dieser Stundensätze ist auch für externes Personal vorgesehen, die aktiv in der operativen Projektumsetzung unterstützen. Dies betrifft im Wesentlichen Schlüsselkräfte, w</w:t>
      </w:r>
      <w:r w:rsidR="00A6334C">
        <w:rPr>
          <w:rFonts w:ascii="Arial" w:hAnsi="Arial" w:cs="Arial"/>
        </w:rPr>
        <w:t>elche direkt mit den Teilnehmern/Teilnehmeri</w:t>
      </w:r>
      <w:r w:rsidRPr="00A6334C">
        <w:rPr>
          <w:rFonts w:ascii="Arial" w:hAnsi="Arial" w:cs="Arial"/>
        </w:rPr>
        <w:t>nn</w:t>
      </w:r>
      <w:r w:rsidR="00A6334C">
        <w:rPr>
          <w:rFonts w:ascii="Arial" w:hAnsi="Arial" w:cs="Arial"/>
        </w:rPr>
        <w:t>en arbeiten (z.B. Trainer/i</w:t>
      </w:r>
      <w:r w:rsidRPr="00A6334C">
        <w:rPr>
          <w:rFonts w:ascii="Arial" w:hAnsi="Arial" w:cs="Arial"/>
        </w:rPr>
        <w:t>nnen etc.). Nicht als externe Personalkosten gelten z.B. die Einholung von Gutachten, Eintritte in Kletterparks oder Museen etc.</w:t>
      </w:r>
    </w:p>
    <w:p w:rsidR="00A82C95" w:rsidRPr="00A6334C" w:rsidRDefault="006B25D0">
      <w:pPr>
        <w:jc w:val="both"/>
        <w:rPr>
          <w:rFonts w:ascii="Arial" w:hAnsi="Arial" w:cs="Arial"/>
        </w:rPr>
      </w:pPr>
      <w:r w:rsidRPr="00A6334C">
        <w:rPr>
          <w:rFonts w:ascii="Arial" w:hAnsi="Arial" w:cs="Arial"/>
        </w:rPr>
        <w:t>Die angeführten Stundensätze beinhalten auch sämtliche mit dem gegenständlichen Projekt verbundenen Sachkosten. Diese wurden in den Stundensätzen als „Restkostenpauschalaufschlag“ bereits berücksichtigt. Für die Valorisierung wurde eine jährliche Indexierung ab 2019 mit 2 % beantragt.</w:t>
      </w:r>
    </w:p>
    <w:p w:rsidR="00A82C95" w:rsidRPr="00A6334C" w:rsidRDefault="006B25D0">
      <w:pPr>
        <w:jc w:val="both"/>
        <w:rPr>
          <w:rFonts w:ascii="Arial" w:hAnsi="Arial" w:cs="Arial"/>
          <w:u w:val="single"/>
        </w:rPr>
      </w:pPr>
      <w:r w:rsidRPr="00A6334C">
        <w:rPr>
          <w:rFonts w:ascii="Arial" w:hAnsi="Arial" w:cs="Arial"/>
          <w:u w:val="single"/>
        </w:rPr>
        <w:t>Zusätzliche Informationen:</w:t>
      </w:r>
    </w:p>
    <w:p w:rsidR="00A82C95" w:rsidRPr="00A6334C" w:rsidRDefault="006B25D0">
      <w:pPr>
        <w:jc w:val="both"/>
        <w:rPr>
          <w:rFonts w:ascii="Arial" w:hAnsi="Arial" w:cs="Arial"/>
        </w:rPr>
      </w:pPr>
      <w:r w:rsidRPr="00A6334C">
        <w:rPr>
          <w:rFonts w:ascii="Arial" w:hAnsi="Arial" w:cs="Arial"/>
        </w:rPr>
        <w:t>Gehälter für Transitkräfte sind als direkte T</w:t>
      </w:r>
      <w:r w:rsidR="00A6334C">
        <w:rPr>
          <w:rFonts w:ascii="Arial" w:hAnsi="Arial" w:cs="Arial"/>
        </w:rPr>
        <w:t>eilnehmer/i</w:t>
      </w:r>
      <w:r w:rsidRPr="00A6334C">
        <w:rPr>
          <w:rFonts w:ascii="Arial" w:hAnsi="Arial" w:cs="Arial"/>
        </w:rPr>
        <w:t>nnenkosten separat auf Echtkostenbasis abzurechnen.</w:t>
      </w:r>
    </w:p>
    <w:p w:rsidR="00A82C95" w:rsidRPr="00A6334C" w:rsidRDefault="006B25D0">
      <w:pPr>
        <w:jc w:val="both"/>
        <w:rPr>
          <w:rFonts w:ascii="Arial" w:hAnsi="Arial" w:cs="Arial"/>
          <w:b/>
        </w:rPr>
      </w:pPr>
      <w:r w:rsidRPr="00A6334C">
        <w:rPr>
          <w:rFonts w:ascii="Arial" w:hAnsi="Arial" w:cs="Arial"/>
          <w:b/>
        </w:rPr>
        <w:t>Bei voll im ESF-Pr</w:t>
      </w:r>
      <w:r w:rsidR="00A6334C" w:rsidRPr="00A6334C">
        <w:rPr>
          <w:rFonts w:ascii="Arial" w:hAnsi="Arial" w:cs="Arial"/>
          <w:b/>
        </w:rPr>
        <w:t>ojekt beschäftigten Mitarbeiter/i</w:t>
      </w:r>
      <w:r w:rsidRPr="00A6334C">
        <w:rPr>
          <w:rFonts w:ascii="Arial" w:hAnsi="Arial" w:cs="Arial"/>
          <w:b/>
        </w:rPr>
        <w:t>nnen, die ausschließlich in diesem Projekt tätig sind, ist eine nachvollziehbare Stellenbeschreibung vorzulegen.</w:t>
      </w:r>
    </w:p>
    <w:p w:rsidR="00A82C95" w:rsidRPr="00A6334C" w:rsidRDefault="00A6334C">
      <w:pPr>
        <w:jc w:val="both"/>
        <w:rPr>
          <w:rFonts w:ascii="Arial" w:hAnsi="Arial" w:cs="Arial"/>
        </w:rPr>
      </w:pPr>
      <w:r>
        <w:rPr>
          <w:rFonts w:ascii="Arial" w:hAnsi="Arial" w:cs="Arial"/>
        </w:rPr>
        <w:t>Bei Projektmitarbeiter/i</w:t>
      </w:r>
      <w:r w:rsidR="006B25D0" w:rsidRPr="00A6334C">
        <w:rPr>
          <w:rFonts w:ascii="Arial" w:hAnsi="Arial" w:cs="Arial"/>
        </w:rPr>
        <w:t>nnen, die nur anteilig im beantragten ESF Projekt tätig sind, ist eine nachvollziehbare detaillierte Tätigkeitsbeschreibung vorzulegen. Dies gilt auch für Personen die gesetzlich nicht verpflichtet sind, solche Aufzeichnungen zu führen. Diese Aufzeichnungen sind im 4-Augen-Prinzip vom sachlich Vorgesetzten des/der betreffenden Mitarbeiters/Mitarbeiterin zu unterfertigen.</w:t>
      </w:r>
    </w:p>
    <w:p w:rsidR="00A82C95" w:rsidRPr="00A6334C" w:rsidRDefault="00BE5BB4">
      <w:pPr>
        <w:jc w:val="both"/>
        <w:rPr>
          <w:rFonts w:ascii="Arial" w:hAnsi="Arial" w:cs="Arial"/>
          <w:sz w:val="20"/>
          <w:szCs w:val="20"/>
        </w:rPr>
      </w:pPr>
      <w:r w:rsidRPr="00A6334C">
        <w:rPr>
          <w:rFonts w:ascii="Arial" w:hAnsi="Arial" w:cs="Arial"/>
          <w:sz w:val="20"/>
          <w:szCs w:val="20"/>
        </w:rPr>
        <w:t xml:space="preserve">Wien, </w:t>
      </w:r>
      <w:r w:rsidR="00A6334C">
        <w:rPr>
          <w:rFonts w:ascii="Arial" w:hAnsi="Arial" w:cs="Arial"/>
          <w:sz w:val="20"/>
          <w:szCs w:val="20"/>
        </w:rPr>
        <w:t>Mai</w:t>
      </w:r>
      <w:r w:rsidRPr="00A6334C">
        <w:rPr>
          <w:rFonts w:ascii="Arial" w:hAnsi="Arial" w:cs="Arial"/>
          <w:sz w:val="20"/>
          <w:szCs w:val="20"/>
        </w:rPr>
        <w:t xml:space="preserve"> 2019</w:t>
      </w:r>
    </w:p>
    <w:sectPr w:rsidR="00A82C95" w:rsidRPr="00A6334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C95" w:rsidRDefault="006B25D0">
      <w:pPr>
        <w:spacing w:after="0" w:line="240" w:lineRule="auto"/>
      </w:pPr>
      <w:r>
        <w:separator/>
      </w:r>
    </w:p>
  </w:endnote>
  <w:endnote w:type="continuationSeparator" w:id="0">
    <w:p w:rsidR="00A82C95" w:rsidRDefault="006B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C95" w:rsidRDefault="006B25D0">
      <w:pPr>
        <w:spacing w:after="0" w:line="240" w:lineRule="auto"/>
      </w:pPr>
      <w:r>
        <w:separator/>
      </w:r>
    </w:p>
  </w:footnote>
  <w:footnote w:type="continuationSeparator" w:id="0">
    <w:p w:rsidR="00A82C95" w:rsidRDefault="006B2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95" w:rsidRDefault="00BE5BB4">
    <w:pPr>
      <w:pStyle w:val="Textkrper"/>
      <w:tabs>
        <w:tab w:val="left" w:pos="3675"/>
        <w:tab w:val="left" w:pos="7980"/>
      </w:tabs>
      <w:kinsoku w:val="0"/>
      <w:overflowPunct w:val="0"/>
      <w:ind w:left="114"/>
      <w:rPr>
        <w:rFonts w:ascii="Times New Roman" w:hAnsi="Times New Roman" w:cs="Times New Roman"/>
        <w:position w:val="3"/>
        <w:sz w:val="20"/>
        <w:szCs w:val="20"/>
      </w:rPr>
    </w:pPr>
    <w:r>
      <w:rPr>
        <w:noProof/>
        <w:lang w:val="de-AT" w:eastAsia="de-AT"/>
      </w:rPr>
      <w:drawing>
        <wp:anchor distT="0" distB="0" distL="114300" distR="114300" simplePos="0" relativeHeight="251661312" behindDoc="0" locked="0" layoutInCell="1" allowOverlap="1" wp14:anchorId="29CB14AD" wp14:editId="6EE4FDCC">
          <wp:simplePos x="0" y="0"/>
          <wp:positionH relativeFrom="margin">
            <wp:align>right</wp:align>
          </wp:positionH>
          <wp:positionV relativeFrom="paragraph">
            <wp:posOffset>8890</wp:posOffset>
          </wp:positionV>
          <wp:extent cx="1059180" cy="929640"/>
          <wp:effectExtent l="0" t="0" r="7620" b="3810"/>
          <wp:wrapSquare wrapText="bothSides"/>
          <wp:docPr id="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180" cy="929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18"/>
        <w:szCs w:val="18"/>
        <w:lang w:val="de-AT" w:eastAsia="de-AT"/>
      </w:rPr>
      <w:drawing>
        <wp:anchor distT="0" distB="0" distL="114300" distR="114300" simplePos="0" relativeHeight="251659264" behindDoc="0" locked="0" layoutInCell="1" allowOverlap="1" wp14:anchorId="46A182DF" wp14:editId="3D26818C">
          <wp:simplePos x="0" y="0"/>
          <wp:positionH relativeFrom="margin">
            <wp:align>center</wp:align>
          </wp:positionH>
          <wp:positionV relativeFrom="paragraph">
            <wp:posOffset>-69215</wp:posOffset>
          </wp:positionV>
          <wp:extent cx="1623060" cy="1150620"/>
          <wp:effectExtent l="0" t="0" r="0" b="0"/>
          <wp:wrapSquare wrapText="bothSides"/>
          <wp:docPr id="4" name="Bild 2" descr="http://www.ams.at/_images/900_logo_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ms.at/_images/900_logo_new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1150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B25D0">
      <w:rPr>
        <w:rFonts w:ascii="Times New Roman" w:hAnsi="Times New Roman" w:cs="Times New Roman"/>
        <w:noProof/>
        <w:sz w:val="20"/>
        <w:szCs w:val="20"/>
        <w:lang w:val="de-AT" w:eastAsia="de-AT"/>
      </w:rPr>
      <w:drawing>
        <wp:inline distT="0" distB="0" distL="0" distR="0">
          <wp:extent cx="1252220" cy="1144905"/>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2220" cy="1144905"/>
                  </a:xfrm>
                  <a:prstGeom prst="rect">
                    <a:avLst/>
                  </a:prstGeom>
                  <a:noFill/>
                  <a:ln>
                    <a:noFill/>
                  </a:ln>
                </pic:spPr>
              </pic:pic>
            </a:graphicData>
          </a:graphic>
        </wp:inline>
      </w:drawing>
    </w:r>
    <w:r w:rsidR="006B25D0">
      <w:rPr>
        <w:rFonts w:ascii="Times New Roman" w:hAnsi="Times New Roman" w:cs="Times New Roman"/>
        <w:sz w:val="20"/>
        <w:szCs w:val="20"/>
      </w:rPr>
      <w:t xml:space="preserve"> </w:t>
    </w:r>
    <w:r w:rsidR="006B25D0">
      <w:rPr>
        <w:rFonts w:ascii="Times New Roman" w:hAnsi="Times New Roman" w:cs="Times New Roman"/>
        <w:sz w:val="20"/>
        <w:szCs w:val="20"/>
      </w:rPr>
      <w:tab/>
    </w:r>
    <w:r w:rsidR="006B25D0">
      <w:rPr>
        <w:rFonts w:ascii="Times New Roman" w:hAnsi="Times New Roman" w:cs="Times New Roman"/>
        <w:position w:val="6"/>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71BAE"/>
    <w:multiLevelType w:val="hybridMultilevel"/>
    <w:tmpl w:val="43C4177E"/>
    <w:lvl w:ilvl="0" w:tplc="B106D5A6">
      <w:start w:val="1"/>
      <w:numFmt w:val="bullet"/>
      <w:lvlText w:val="•"/>
      <w:lvlJc w:val="left"/>
      <w:pPr>
        <w:tabs>
          <w:tab w:val="num" w:pos="720"/>
        </w:tabs>
        <w:ind w:left="720" w:hanging="360"/>
      </w:pPr>
      <w:rPr>
        <w:rFonts w:ascii="Arial" w:hAnsi="Arial" w:hint="default"/>
      </w:rPr>
    </w:lvl>
    <w:lvl w:ilvl="1" w:tplc="C4AEBE04" w:tentative="1">
      <w:start w:val="1"/>
      <w:numFmt w:val="bullet"/>
      <w:lvlText w:val="•"/>
      <w:lvlJc w:val="left"/>
      <w:pPr>
        <w:tabs>
          <w:tab w:val="num" w:pos="1440"/>
        </w:tabs>
        <w:ind w:left="1440" w:hanging="360"/>
      </w:pPr>
      <w:rPr>
        <w:rFonts w:ascii="Arial" w:hAnsi="Arial" w:hint="default"/>
      </w:rPr>
    </w:lvl>
    <w:lvl w:ilvl="2" w:tplc="3294CD4E" w:tentative="1">
      <w:start w:val="1"/>
      <w:numFmt w:val="bullet"/>
      <w:lvlText w:val="•"/>
      <w:lvlJc w:val="left"/>
      <w:pPr>
        <w:tabs>
          <w:tab w:val="num" w:pos="2160"/>
        </w:tabs>
        <w:ind w:left="2160" w:hanging="360"/>
      </w:pPr>
      <w:rPr>
        <w:rFonts w:ascii="Arial" w:hAnsi="Arial" w:hint="default"/>
      </w:rPr>
    </w:lvl>
    <w:lvl w:ilvl="3" w:tplc="C9A65FCE" w:tentative="1">
      <w:start w:val="1"/>
      <w:numFmt w:val="bullet"/>
      <w:lvlText w:val="•"/>
      <w:lvlJc w:val="left"/>
      <w:pPr>
        <w:tabs>
          <w:tab w:val="num" w:pos="2880"/>
        </w:tabs>
        <w:ind w:left="2880" w:hanging="360"/>
      </w:pPr>
      <w:rPr>
        <w:rFonts w:ascii="Arial" w:hAnsi="Arial" w:hint="default"/>
      </w:rPr>
    </w:lvl>
    <w:lvl w:ilvl="4" w:tplc="C194D442" w:tentative="1">
      <w:start w:val="1"/>
      <w:numFmt w:val="bullet"/>
      <w:lvlText w:val="•"/>
      <w:lvlJc w:val="left"/>
      <w:pPr>
        <w:tabs>
          <w:tab w:val="num" w:pos="3600"/>
        </w:tabs>
        <w:ind w:left="3600" w:hanging="360"/>
      </w:pPr>
      <w:rPr>
        <w:rFonts w:ascii="Arial" w:hAnsi="Arial" w:hint="default"/>
      </w:rPr>
    </w:lvl>
    <w:lvl w:ilvl="5" w:tplc="82546CEC" w:tentative="1">
      <w:start w:val="1"/>
      <w:numFmt w:val="bullet"/>
      <w:lvlText w:val="•"/>
      <w:lvlJc w:val="left"/>
      <w:pPr>
        <w:tabs>
          <w:tab w:val="num" w:pos="4320"/>
        </w:tabs>
        <w:ind w:left="4320" w:hanging="360"/>
      </w:pPr>
      <w:rPr>
        <w:rFonts w:ascii="Arial" w:hAnsi="Arial" w:hint="default"/>
      </w:rPr>
    </w:lvl>
    <w:lvl w:ilvl="6" w:tplc="2D020A7C" w:tentative="1">
      <w:start w:val="1"/>
      <w:numFmt w:val="bullet"/>
      <w:lvlText w:val="•"/>
      <w:lvlJc w:val="left"/>
      <w:pPr>
        <w:tabs>
          <w:tab w:val="num" w:pos="5040"/>
        </w:tabs>
        <w:ind w:left="5040" w:hanging="360"/>
      </w:pPr>
      <w:rPr>
        <w:rFonts w:ascii="Arial" w:hAnsi="Arial" w:hint="default"/>
      </w:rPr>
    </w:lvl>
    <w:lvl w:ilvl="7" w:tplc="B76AE402" w:tentative="1">
      <w:start w:val="1"/>
      <w:numFmt w:val="bullet"/>
      <w:lvlText w:val="•"/>
      <w:lvlJc w:val="left"/>
      <w:pPr>
        <w:tabs>
          <w:tab w:val="num" w:pos="5760"/>
        </w:tabs>
        <w:ind w:left="5760" w:hanging="360"/>
      </w:pPr>
      <w:rPr>
        <w:rFonts w:ascii="Arial" w:hAnsi="Arial" w:hint="default"/>
      </w:rPr>
    </w:lvl>
    <w:lvl w:ilvl="8" w:tplc="E61A29D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95"/>
    <w:rsid w:val="00594044"/>
    <w:rsid w:val="006B25D0"/>
    <w:rsid w:val="00A6334C"/>
    <w:rsid w:val="00A82C95"/>
    <w:rsid w:val="00BE5B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0231"/>
  <w15:docId w15:val="{269B2C25-0BE2-4C6E-A918-879910B3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spacing w:after="0" w:line="240" w:lineRule="auto"/>
      <w:ind w:left="720"/>
      <w:contextualSpacing/>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pPr>
      <w:widowControl w:val="0"/>
      <w:autoSpaceDE w:val="0"/>
      <w:autoSpaceDN w:val="0"/>
      <w:adjustRightInd w:val="0"/>
      <w:spacing w:after="0" w:line="240" w:lineRule="auto"/>
    </w:pPr>
    <w:rPr>
      <w:rFonts w:ascii="Calibri" w:eastAsia="Times New Roman" w:hAnsi="Calibri" w:cs="Calibri"/>
      <w:lang w:eastAsia="de-DE"/>
    </w:rPr>
  </w:style>
  <w:style w:type="character" w:customStyle="1" w:styleId="TextkrperZchn">
    <w:name w:val="Textkörper Zchn"/>
    <w:basedOn w:val="Absatz-Standardschriftart"/>
    <w:link w:val="Textkrper"/>
    <w:uiPriority w:val="1"/>
    <w:rPr>
      <w:rFonts w:ascii="Calibri" w:eastAsia="Times New Roman"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66364">
      <w:bodyDiv w:val="1"/>
      <w:marLeft w:val="0"/>
      <w:marRight w:val="0"/>
      <w:marTop w:val="0"/>
      <w:marBottom w:val="0"/>
      <w:divBdr>
        <w:top w:val="none" w:sz="0" w:space="0" w:color="auto"/>
        <w:left w:val="none" w:sz="0" w:space="0" w:color="auto"/>
        <w:bottom w:val="none" w:sz="0" w:space="0" w:color="auto"/>
        <w:right w:val="none" w:sz="0" w:space="0" w:color="auto"/>
      </w:divBdr>
      <w:divsChild>
        <w:div w:id="82282104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HERBST Gerhard</dc:creator>
  <cp:lastModifiedBy>ELSCHMIDT</cp:lastModifiedBy>
  <cp:revision>5</cp:revision>
  <dcterms:created xsi:type="dcterms:W3CDTF">2019-04-08T14:28:00Z</dcterms:created>
  <dcterms:modified xsi:type="dcterms:W3CDTF">2019-05-14T09:07:00Z</dcterms:modified>
</cp:coreProperties>
</file>